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664</w:t>
      </w:r>
    </w:p>
    <w:p>
      <w:r>
        <w:t>Bundesgericht (BGE), 2007-09-10, DE</w:t>
      </w:r>
    </w:p>
    <w:p>
      <w:r>
        <w:rPr>
          <w:b/>
        </w:rPr>
        <w:t xml:space="preserve">Quelle: </w:t>
      </w:r>
      <w:r>
        <w:t>https://mcp.opencaselaw.ch/entscheid/bge_133 III 664</w:t>
      </w:r>
    </w:p>
    <w:p>
      <w:r>
        <w:t>FR: ATF 133 III 664</w:t>
      </w:r>
    </w:p>
    <w:p>
      <w:r>
        <w:t>IT: DTF 133 III 664</w:t>
      </w:r>
    </w:p>
    <w:p>
      <w:pPr>
        <w:pStyle w:val="Heading2"/>
      </w:pPr>
      <w:r>
        <w:t>Regeste</w:t>
      </w:r>
    </w:p>
    <w:p>
      <w:r>
        <w:t>Regeste Art. 400 OR; Auskunftsrecht des Auftraggebers. Tragweite der Auskunftspflicht einer Bank bei Einzahlungen und Überweisungen (E. 2).</w:t>
      </w:r>
    </w:p>
    <w:p>
      <w:pPr>
        <w:pStyle w:val="Heading2"/>
      </w:pPr>
      <w:r>
        <w:t>Erwägungen</w:t>
      </w:r>
    </w:p>
    <w:p>
      <w:r>
        <w:rPr>
          <w:b/>
        </w:rPr>
        <w:t>E. 2</w:t>
      </w:r>
    </w:p>
    <w:p>
      <w:r>
        <w:t>Die Kläger nehmen vorab vertragliche Auskunfts- und Einsichtsrechte für sich in Anspruch.</w:t>
      </w:r>
    </w:p>
    <w:p>
      <w:r>
        <w:rPr>
          <w:b/>
        </w:rPr>
        <w:t>E. 2.1</w:t>
      </w:r>
    </w:p>
    <w:p>
      <w:r>
        <w:t>Das Obergericht hat erwogen, nachdem die Beklagte über die bekannten und saldierten Konten Auskunft erteilt habe, bleibe noch streitig, ob die Kläger hinsichtlich allfälliger Bareinzahlungen und Überweisungen des Erblassers auskunftsberechtigt seien. Bei einmaligen Bareinzahlungen entstehe jedoch keine Geschäftsbeziehung und die Bank sei diesbezüglich auch nicht buchführungspflichtig, sie sei BGE 133 III 664 S. 666 blosse Zahlstelle. Bei einer Überweisung am Bankschalter dürfte das Verhältnis zwischen Einzahler und Bank hingegen als Auftrag zu qualifizieren sein. Trotzdem verdiene die Forderung nach Auskunft keinen Rechtsschutz, wenn nicht einmal feststehe, ob überhaupt eine Überweisung durch den Erblasser erfolgt sei. Die Kläger hätten sich mit ihrem Auskunftsbegehren an die ihnen bekannten Stiftungen zu halten, ansonsten Erben bei beliebigen Banken nachforschen könnten, ob der Erblasser irgendwann irgendwelche Zahlungen abgewickelt habe, was nicht der Sinn des vertraglichen Auskunftsrechts sein könne. Bei der Überweisung ab einem Konto bei einer Drittbank schliesslich bestehe nur zwischen Überweiser und Senderbank, nicht aber zwischen Überweiser und Empfängerbank ein vertragliches Verhältnis. Zwar könne der Überweiser gegenüber der Empfängerbank allenfalls Schadenersatzansprüche geltend machen, aber diese sei mangels einer vertraglichen Beziehung weder auskunfts- noch rechenschaftspflichtig.</w:t>
      </w:r>
    </w:p>
    <w:p>
      <w:r>
        <w:rPr>
          <w:b/>
        </w:rPr>
        <w:t>E. 2.2</w:t>
      </w:r>
    </w:p>
    <w:p>
      <w:r>
        <w:t>Was die letztgenannte Konstellation anbelangt, hat das Obergericht zu Recht festgehalten, dass bei Überweisungen von einem Konto bei einer Drittbank keine direkte Vertragsbeziehung zwischen dem Überweiser und der Empfängerbank besteht ( BGE 121 III 310 E. 3a S. 312 f. m.w.H.). Der von den Klägern angerufene BGE 124 III 253 E. 3b S. 256 betrifft denn auch das Verhältnis zwischen Sender- und Empfängerbank, nicht dasjenige zwischen Überweiser und Empfängerbank. Ohnehin ist angesichts der klägerseits akzeptierten Aussage der Bank S., es seien keine weiteren auf den Erblasser lautende Konten vorhanden (gewesen), nicht ersichtlich, inwiefern dieser bei Überweisungen von einer Drittbank gegenüber der Bank S. hätte auskunftsberechtigt sein können; entsprechend verfügen diesbezüglich auch die Kläger als seine Rechtsnachfolger über keine Informationsansprüche gegenüber der Bank S. (dazu E. 2.5). Näher zu prüfen ist hingegen die Konstellation der Einzahlung bzw. Überweisung direkt bei der Beklagten.</w:t>
      </w:r>
    </w:p>
    <w:p>
      <w:r>
        <w:rPr>
          <w:b/>
        </w:rPr>
        <w:t>E. 2.3</w:t>
      </w:r>
    </w:p>
    <w:p>
      <w:r>
        <w:t>Diesbezüglich machen die Kläger geltend, solche Geschäfte würden im Rahmen eines von gegenseitigem Rechtsbindungswillen getragenen Auftragsverhältnisses erfolgen. Der Auftraggeber müsse die richtige Ausführung des Auftrags überprüfen können und habe deshalb ein Auskunftsrecht. Dies ergebe sich auch aus Billigkeitsüberlegungen, wären doch die Erben sonst oft gar nicht in der Lage, den Umfang des Nachlasses festzustellen. Im Übrigen diene das Auskunftsbegehren gerade dazu, Klarheit über allfällige BGE 133 III 664 S. 667 Einzahlungen zu erlangen, weshalb sich der Rechtsschutz nicht wegen Nichtwissens verneinen lasse, zumal das Begehren klar spezifiziert sei, hätten sie doch sogar den Namen des Kundenbetreuers genannt, der über die Verhältnisse des Erblassers umfassend im Bild sei.</w:t>
      </w:r>
    </w:p>
    <w:p>
      <w:r>
        <w:rPr>
          <w:b/>
        </w:rPr>
        <w:t>E. 2.4</w:t>
      </w:r>
    </w:p>
    <w:p>
      <w:r>
        <w:t>Die Bank S. bestreitet das Vorliegen eines Auftragsverhältnisses bei Einzahlungen bzw. Überweisungen am Bankschalter. Diesfalls leiste der Einzahlende nicht an den Empfänger direkt, sondern an die kontoführende Bank; insofern sei sie Zahlstelle im Rahmen der schuldnerischen Ermächtigung, die Zahlung erfüllungshalber durch eine Einzahlung auf das Konto zu leisten. Ein Vertragsverhältnis zwischen Schuldner und kontoführender Bank entstehe nur dann, wenn dieser von sich aus, ohne entsprechende Ermächtigung des Gläubigers, seine Verbindlichkeit durch Zahlung an die Bank, verbunden mit der Anweisung zur entsprechenden Gutschrift auf dem Konto, tilge. In der Praxis komme dies aber kaum je vor, weil dem Schuldner ja die Kontonummer seines Gläubigers bekannt sein müsse. Im Sinn einer Arbeitshypothese sei deshalb davon auszugehen, dass vorliegend der Erblasser vom Zahlungsempfänger ermächtigt worden sei, auf dessen bei der Bank S. geführtes Konto zu zahlen, und sie (die Bank S.) deshalb blosse Zahlstelle sei.</w:t>
      </w:r>
    </w:p>
    <w:p>
      <w:r>
        <w:rPr>
          <w:b/>
        </w:rPr>
        <w:t>E. 2.5</w:t>
      </w:r>
    </w:p>
    <w:p>
      <w:r>
        <w:t>Aus dem Wesen der Universalsukzession im Sinn von Art. 560 ZGB folgt, dass nicht nur sämtliche Vermögensrechte, sondern insbesondere auch die vertraglichen Auskunftsansprüche auf die Erben übergehen, soweit sie nicht höchstpersönliche Rechte des Erblassers beschlagen, wobei diese Ansprüche jedem Erben einzeln zustehen ( BGE 89 II 87 E. 6 S. 93; FELLMANN, Berner Kommentar, N. 103 ff. zu Art. 400 OR ; KLEINER/SCHWOB/WINZELER, in: Kommentar zum Bundesgesetz über die Banken und Sparkassen, Zürich 2006, N. 40 ff. zu Art. 47 BankG ; STRATENWERTH, Basler Kommentar, N. 24 zu Art. 47 BankG ; ZOBL, Probleme im Spannungsfeld von Bank-, Erb- und Schuldrecht, AJP 2001 S. 1017; MEIER-HAYOZ/FORSTMOSER, Die Auskunftsrechte von Erben gegenüber Banken, Jusletter vom 8. September 2003, Rz. 21 ff.). Die Kläger haben mithin die Auskunftsberechtigung des Erblassers und deren Übergang kraft Universalsukzession darzutun. Als erbrechtlich erworben bestehen die vertraglichen Auskunftsansprüche in demjenigem Umfang, wie sie für den Erblasser gegolten haben.</w:t>
      </w:r>
    </w:p>
    <w:p>
      <w:r>
        <w:rPr>
          <w:b/>
        </w:rPr>
        <w:t>E. 2.6</w:t>
      </w:r>
    </w:p>
    <w:p>
      <w:r>
        <w:t>Nach eigenem Zugeständnis der Bank S. in der Berufungsantwort besteht jedenfalls dort ein Vertragsverhältnis zwischen der BGE 133 III 664 S. 668 kontoführenden Bank und dem Einzahlenden, wo dieser nicht auf Weisung des Begünstigten handelt. Umso mehr muss von einem Auftragsverhältnis zwischen der einzahlenden Person und der Bank ausgegangen werden, wenn der Kontoinhaber nicht in Erfüllung einer Schuldpflicht, sondern aus freien Stücken begünstigt werden soll. Genau dies trifft aber im vorliegenden Einzelfall zu, ist doch Hintergrund des Auskunftsbegehrens die Vermutung der Kläger, dass der Erblasser mit verschiedenen Transaktionen Geld bei den beiden liechtensteinischen Stiftungen parkiert hat. Einzahlungen bzw. Überweisungen zugunsten der Stiftungen wären somit aus freiem Willensentschluss des Erblassers erfolgt. Bei solchen Transaktionen ist die Bank nicht Gehilfin des Kontoinhabers; vielmehr wird sie im Interesse des Einzahlenden tätig und verwendet das Geld gemäss dessen Weisungen im Rahmen eines Einzelauftragsverhältnisses. Verpflichtet sich die Bank bei solchen Vorgängen mit der Entgegennahme des Geldes, dieses entsprechend den Weisungen des Auftraggebers zu verwenden, ist sie diesem beschränkt auf die betreffende Transaktion rechenschafts- und auskunftspflichtig ( Art. 400 Abs. 1 OR ; FELLMANN, a.a.O., N. 23 zu Art. 400 OR ). Dass vorliegend nicht mit Sicherheit feststeht, ob überhaupt Einzahlungen durch den Erblasser erfolgt sind, sondern hierfür nur Anhaltspunkte bestehen, kann entgegen der Auffassung des Obergerichts keine Rolle spielen, wäre doch die Bank dem Erblasser hierüber auskunftspflichtig gewesen und liegt es in der Natur der Sache, dass es im Zusammenhang mit dem Erbgang zu Wissensdefiziten und zum Verlust von Belegen über die entsprechenden Vorgänge kommen kann. Ins Leere stösst sodann der Verweis auf das Bankgeheimnis gemäss Art. 47 BankG : Dieses gilt nur gegenüber Dritten, während es gegenüber dem Geheimnisherrn - und im Rahmen der Erbfolge auch gegenüber seinen Universalsukzessoren - von vornherein nicht greifen kann (KLEINER/SCHWOB/WINZELER, a.a.O., N. 14 zu Art. 47 BankG ). In diesem Sinn dürfte die Bank bei der Bareinzahlung oder Überweisung selbstverständlich keine Auskünfte über den Saldo des begünstigten Kontos erteilen oder gar Auszüge davon aushändigen. Soweit sie dem Einzahlenden aber Auskunft über die Einzahlung als solche erteilt, gibt sie ihm nichts bekannt, was er nicht bereits wusste, und insofern kann sie ihm begriffslogisch auch kein Geheimnis preisgeben. Ebenso wenig wird das Bankgeheimnis verletzt, wenn die Bank einem Kunden beispielsweise bestätigt, dass er kein Konto besitzt oder keine Transaktionen durchgeführt hat, woran er gegenüber BGE 133 III 664 S. 669 den Steuerbehörden oder in einem Scheidungsverfahren gegenüber dem Ehegatten interessiert sein kann. Vor diesem Hintergrund kann es im Zusammenhang mit dem Bankgeheimnis auch keine Rolle spielen, dass die Kläger kein gesichertes Wissen haben; mit der Auskunft über allfällige Einzahlungen oder mit der Information, es seien keine solchen erfolgt, wird nichts preisgegeben, wovon der Erblasser als Rechtsvorgänger der Kläger nicht Geheimnisherr gewesen wäre. Ebenso wenig wie der Verweis auf das Bankgeheimnis verfängt derjenige auf die Vereinbarung über die Standesregeln zur Sorgfaltspflicht der Banken (Sorgfaltspflichtsvereinbarung, VSB 03), in deren Art. 2 sich die Banken bei der Entgegennahme von Beträgen über Fr. 25'000.- Identitifikations- und Abklärungspflichten auferlegt haben. Diese bleiben ohne Einfluss auf die Natur des zugrunde liegenden Vertragsverhältnisses zwischen der Bank und ihrem Kunden. Einzige Auswirkung im interessierenden Kontext ist, dass infolge der Dokumentationspflicht die Bank einem Auskunftsbegehren eher wird nachleben können, steht und fällt doch die Auskunftserteilung in tatsächlicher Hinsicht damit, dass bei der Bank zum betreffenden Vorgang (noch) Unterlagen oder jedenfalls Kenntnisse greifbar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